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both"/>
        <w:rPr>
          <w:rFonts w:ascii="Traditional Arabic" w:cs="Traditional Arabic" w:eastAsia="Traditional Arabic" w:hAnsi="Traditional Arabic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زيارة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ميدانية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بخصوص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مرسوم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الموافقة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0"/>
        </w:rPr>
        <w:t xml:space="preserve">Consent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0"/>
        </w:rPr>
        <w:t xml:space="preserve">Decree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raditional Arabic" w:cs="Traditional Arabic" w:eastAsia="Traditional Arabic" w:hAnsi="Traditional Arab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both"/>
        <w:rPr>
          <w:rFonts w:ascii="Traditional Arabic" w:cs="Traditional Arabic" w:eastAsia="Traditional Arabic" w:hAnsi="Traditional Arabic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أسبوع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2</w:t>
      </w:r>
      <w:r w:rsidDel="00000000" w:rsidR="00000000" w:rsidRPr="00000000">
        <w:rPr>
          <w:rFonts w:ascii="Traditional Arabic" w:cs="Traditional Arabic" w:eastAsia="Traditional Arabic" w:hAnsi="Traditional Arabic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إبريل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سنستضيف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زيارة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تمتد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ليوم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تتعلق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بامتثال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منطقة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مرسوم</w:t>
        </w:r>
      </w:hyperlink>
      <w:hyperlink r:id="rId8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الموافقة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فيما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يخص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الخدمات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المقدمة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متعددي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اللغات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. 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سيشارك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الزيارة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ممثلون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وزارة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العادل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ورابطة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المعلمين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الهسبانيين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CHE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جانب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مراقب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يرفع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تقاريره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للمحكمة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raditional Arabic" w:cs="Traditional Arabic" w:eastAsia="Traditional Arabic" w:hAnsi="Traditional Arab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Traditional Arabic" w:cs="Traditional Arabic" w:eastAsia="Traditional Arabic" w:hAnsi="Traditional Arabic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الممكن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الزيارة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الافصاح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السجلات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للطالب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تخضع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لحماية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الحقوق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للأسرة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والخصوصية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FERPA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). 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ينص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FERPA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استثناء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يسمح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لوزارة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العدل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بالحصول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السجلات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لكنه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ذاته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يشترط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تقوم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المناطق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بإبلاغ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أولياء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الأمور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الافصاح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السجلات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لأي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أطراف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للامتثال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لأمر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محكمة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raditional Arabic" w:cs="Traditional Arabic" w:eastAsia="Traditional Arabic" w:hAnsi="Traditional Arab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raditional Arabic" w:cs="Traditional Arabic" w:eastAsia="Traditional Arabic" w:hAnsi="Traditional Arab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ترغب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تقوم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المنطقة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بالإفصاح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السجلات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رابطة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المعلمين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الهسبانيين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مراقب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المحكمة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يتعين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hyperlink r:id="rId10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التواصل</w:t>
        </w:r>
      </w:hyperlink>
      <w:hyperlink r:id="rId11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مع</w:t>
        </w:r>
      </w:hyperlink>
      <w:hyperlink r:id="rId13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1"/>
          </w:rPr>
          <w:t xml:space="preserve">المحكمة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أقرب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وقت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ممكن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القضية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Congress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Hispanic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Educators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Denver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Public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Schools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ورقم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القضية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95-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cv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-02313-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RBJ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محكمة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District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Court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District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Colorado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والقاضي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Honorable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Brooke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Jackson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لديك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يمكنك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التواصل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بالبريد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1"/>
        </w:rPr>
        <w:t xml:space="preserve"> </w:t>
      </w:r>
      <w:hyperlink r:id="rId15">
        <w:r w:rsidDel="00000000" w:rsidR="00000000" w:rsidRPr="00000000">
          <w:rPr>
            <w:rFonts w:ascii="Traditional Arabic" w:cs="Traditional Arabic" w:eastAsia="Traditional Arabic" w:hAnsi="Traditional Arabic"/>
            <w:color w:val="1155cc"/>
            <w:sz w:val="24"/>
            <w:szCs w:val="24"/>
            <w:u w:val="single"/>
            <w:rtl w:val="0"/>
          </w:rPr>
          <w:t xml:space="preserve">denverpublicschools_legaldepartment@dpsk12.net</w:t>
        </w:r>
      </w:hyperlink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aditional Arabic" w:cs="Traditional Arabic" w:eastAsia="Traditional Arabic" w:hAnsi="Traditional Arabic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B4CBC"/>
    <w:pPr>
      <w:spacing w:after="100" w:afterAutospacing="1" w:before="100" w:beforeAutospacing="1" w:line="240" w:lineRule="auto"/>
    </w:pPr>
    <w:rPr>
      <w:rFonts w:ascii="Times New Roman" w:cs="Arial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9B4CB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d.uscourts.gov/AbouttheDistrict/ContactUs.aspx" TargetMode="External"/><Relationship Id="rId10" Type="http://schemas.openxmlformats.org/officeDocument/2006/relationships/hyperlink" Target="http://www.cod.uscourts.gov/AbouttheDistrict/ContactUs.aspx" TargetMode="External"/><Relationship Id="rId13" Type="http://schemas.openxmlformats.org/officeDocument/2006/relationships/hyperlink" Target="http://www.cod.uscourts.gov/AbouttheDistrict/ContactUs.aspx" TargetMode="External"/><Relationship Id="rId12" Type="http://schemas.openxmlformats.org/officeDocument/2006/relationships/hyperlink" Target="http://www.cod.uscourts.gov/AbouttheDistrict/ContactUs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le.dpsk12.org/o/mle/page/consent-decree" TargetMode="External"/><Relationship Id="rId15" Type="http://schemas.openxmlformats.org/officeDocument/2006/relationships/hyperlink" Target="mailto:denverpublicschools_legaldepartment@dpsk12.net" TargetMode="External"/><Relationship Id="rId14" Type="http://schemas.openxmlformats.org/officeDocument/2006/relationships/hyperlink" Target="http://www.cod.uscourts.gov/AbouttheDistrict/ContactUs.aspx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le.dpsk12.org/o/mle/page/consent-decree" TargetMode="External"/><Relationship Id="rId8" Type="http://schemas.openxmlformats.org/officeDocument/2006/relationships/hyperlink" Target="https://mle.dpsk12.org/o/mle/page/consent-dec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xgOvzBUKsjDM9AcMzmkFAxEfZg==">CgMxLjAyCGguZ2pkZ3hzOAByITFrRE1OU212VUV1UVNmdDdfS2F6eWJBNkxzaXpuYU9MUg==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2023-04-06T17:39:00Z</dcterms:created>
  <dc:creator>Gonzalez, Laura</dc:creator>
</cp:coreProperties>
</file>